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黑体" w:hAnsi="黑体" w:eastAsia="黑体" w:cs="方正小标宋简体"/>
          <w:color w:val="auto"/>
          <w:sz w:val="32"/>
          <w:szCs w:val="32"/>
        </w:rPr>
        <w:t>附件</w:t>
      </w:r>
      <w:r>
        <w:rPr>
          <w:rFonts w:ascii="Times New Roman" w:hAnsi="Times New Roman" w:eastAsia="方正小标宋简体" w:cs="Times New Roman"/>
          <w:color w:val="auto"/>
          <w:sz w:val="32"/>
          <w:szCs w:val="32"/>
        </w:rPr>
        <w:t>1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网络培训课程列表</w:t>
      </w:r>
      <w:bookmarkEnd w:id="0"/>
    </w:p>
    <w:tbl>
      <w:tblPr>
        <w:tblStyle w:val="4"/>
        <w:tblW w:w="5357" w:type="pct"/>
        <w:tblInd w:w="-26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  <w:gridCol w:w="993"/>
        <w:gridCol w:w="3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课程名称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主讲人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2" w:firstLineChars="20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单位与职务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黑体" w:eastAsia="黑体" w:cs="Times New Roman"/>
                <w:color w:val="auto"/>
                <w:sz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</w:rPr>
              <w:t>一、政策理论与思想引领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中国共产党第十九届中央纪律检查委员会第六次全体会议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待  定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高校如何贯彻落实党的教育方针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巫志刚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教育部政策法规司综合研究处处长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深入学习贯彻党的十九届六中全会精神——从党的百年奋斗历史经验看人民教育千秋基业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张  力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国家教育咨询委员会秘书长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中国共产党百年奋斗的历史意义 ——学习六中全会和历史决议精神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秦  宣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中国人民大学马克思主义学院教授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推进高校事业高质量发展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王树国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西安交通大学校长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中国共产党的精神之源——坚持真理、坚守理想，践行初心、担当使命，不怕牺牲、英勇斗争，对党忠诚、不负人民的伟大建党精神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胡  敏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中国共产党与三个历史决议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祝  彦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中共中央党校(国家行政学院)教授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以史为鉴、开创未来，必须不断推进党的建设新的伟大工程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陈凯龙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</w:rPr>
              <w:t>二、全面从严治党与政治建设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学习贯彻《中国共产党普通高等学校基层组织工作条例》辅导报告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魏士强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教育部思想政治工作司司长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教育干部、管理干部的必备方式，全面从严治党的重要措施——《中国共产党组织处理规定（试行）》解读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任  进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强化政治监督保障制度执行，增强“两个维护”的政治自觉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任  进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新时代高校全面从严治党的形势与任务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宋  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清华大学廉政与治理研究中心客座研究员、北京科技大学马克思主义学院院长、廉政中心主任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加强高校党的政治建设 筑牢办好社会主义大学的政治基石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 xml:space="preserve"> 张维维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北京航空航天大学原党委常务副书记、教授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坚定信念把准方向，提升干部政治能力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胡月星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讲政治，领导干部必须提高政治判断力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陈凯龙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讲政治，领导干部必须提高政治领悟力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 xml:space="preserve">朱谐汉 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中共中央党校（国家行政学院）培训部副主任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讲政治，领导干部必须提高政治执行力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任  进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黑体" w:eastAsia="黑体" w:cs="Times New Roman"/>
                <w:color w:val="auto"/>
                <w:sz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</w:rPr>
              <w:t>三、巡视监督与纪检监察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《中华人民共和国监察法》解读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李松锋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清华大学廉政与治理研究中心兼职研究员、中国政法大学法学院副教授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《中国共产党纪律检查委员会工作条例》解读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待  定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《中国共产党纪律检查机关监督执纪工作规则》解读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刘金程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中国矿业大学（北京）廉政研究中心执行主任，文法学院纪委书记、副院长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 xml:space="preserve">破解对“一把手”监督和同级监督难题——《中共中央关于加强对“一把手”和领导班子监督的意见》解读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任  进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《中国共产党问责条例》修订意义与若干重点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任  进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以强有力的政治监督，确保党中央重大决策部署贯彻落实到位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刘  春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当前形势下如何切实抓好巡视整改工作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刘  春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纪律检查机关监督执纪执法工作实务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刘金程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中国矿业大学（北京）廉政研究中心执行主任，文法学院纪委书记、副院长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新形势下高校巡察监督的创新与实践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宋  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清华大学廉政与治理研究中心客座研究员、北京科技大学马克思主义学院院长、廉政中心主任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黑体" w:eastAsia="黑体" w:cs="Times New Roman"/>
                <w:color w:val="auto"/>
                <w:sz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</w:rPr>
              <w:t>四、作风纪律建设与反腐败斗争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新时代党员干部如何严守六项纪律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陈冬生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教育廉洁与教育工作者的使命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任建明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北京航空航天大学廉洁研究与教育中心主任、公共管理学院教授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毫不松懈纠治“四风”，坚决防止形式主义、官僚主义滋生蔓延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 xml:space="preserve">蒋来用 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中国社会科学院中国廉政研究中心秘书长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舆论反腐新路径：从私德问题到公权问题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段鑫星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中国矿业大学公共管理学院院长、教授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坚定不移推进反腐败斗争，不断实现不敢腐、不能腐、不想腐一体推进战略目标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宋  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清华大学廉政与治理研究中心客座研究员、北京科技大学马克思主义学院院长、廉政中心主任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党员干部廉政风险点梳理及防控措施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李  莉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中国政法大学政治与公共管理学院副教授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高校腐败重点领域的廉政风险防控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周  磊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清华大学廉政与治理研究中心客座研究员、北京工商大学教师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教师职业行为十项准则解读：典型案例与警示教育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张  冉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北京大学教育学院副教授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如何增强警示教育活动的效果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陈冬生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80" w:firstLineChars="200"/>
              <w:jc w:val="center"/>
              <w:rPr>
                <w:rFonts w:ascii="黑体" w:hAnsi="黑体" w:eastAsia="黑体" w:cs="Times New Roman"/>
                <w:color w:val="auto"/>
                <w:sz w:val="24"/>
              </w:rPr>
            </w:pPr>
            <w:r>
              <w:rPr>
                <w:rFonts w:hint="eastAsia" w:ascii="黑体" w:hAnsi="黑体" w:eastAsia="黑体" w:cs="Times New Roman"/>
                <w:color w:val="auto"/>
                <w:sz w:val="24"/>
              </w:rPr>
              <w:t>五、职业素养与业务能力提升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学习习近平的“读书之道”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陈冬生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坚持把防范化解国家安全风险摆在突出位置，提高风险预见、预判能力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马宝成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中共中央党校（国家行政学院）应急管理培训中心主任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未雨绸缪 精准拆弹，提高干部应急处突能力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马宝成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中共中央党校（国家行政学院）应急管理培训中心主任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高校二级党组织纪检委员的工作职责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宋  伟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清华大学廉政与治理研究中心客座研究员、北京科技大学马克思主义学院院长、廉政中心主任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 xml:space="preserve">领导干部保密七字诀 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微  课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全媒体时代领导干部公众形象塑造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魏  洁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中国形象礼仪协会高级形象管理讲师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全面依法治国背景下高校人事管理的法治化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姚  荣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华东师范大学教育学部副教授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不忘初心 牢记使命 做忠诚干净担当的优秀党员干部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郭海燕</w:t>
            </w:r>
          </w:p>
        </w:tc>
        <w:tc>
          <w:tcPr>
            <w:tcW w:w="2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首都师范大学教授</w:t>
            </w:r>
          </w:p>
        </w:tc>
      </w:tr>
    </w:tbl>
    <w:p>
      <w:pPr>
        <w:pStyle w:val="9"/>
        <w:spacing w:line="360" w:lineRule="exact"/>
        <w:ind w:right="-57" w:rightChars="-27" w:firstLine="0" w:firstLineChars="0"/>
        <w:rPr>
          <w:rFonts w:ascii="楷体" w:hAnsi="楷体" w:eastAsia="楷体" w:cs="仿宋"/>
          <w:color w:val="auto"/>
        </w:rPr>
      </w:pPr>
      <w:r>
        <w:rPr>
          <w:rFonts w:ascii="楷体" w:hAnsi="楷体" w:eastAsia="楷体" w:cs="仿宋"/>
          <w:color w:val="auto"/>
        </w:rPr>
        <w:t>说明</w:t>
      </w:r>
      <w:r>
        <w:rPr>
          <w:rFonts w:hint="eastAsia" w:ascii="楷体" w:hAnsi="楷体" w:eastAsia="楷体" w:cs="仿宋"/>
          <w:color w:val="auto"/>
        </w:rPr>
        <w:t>：</w:t>
      </w:r>
      <w:r>
        <w:rPr>
          <w:rFonts w:ascii="Times New Roman" w:hAnsi="Times New Roman" w:eastAsia="楷体"/>
          <w:color w:val="auto"/>
        </w:rPr>
        <w:t>1</w:t>
      </w:r>
      <w:r>
        <w:rPr>
          <w:rFonts w:hint="eastAsia" w:ascii="Times New Roman" w:hAnsi="Times New Roman" w:eastAsia="楷体"/>
          <w:color w:val="auto"/>
        </w:rPr>
        <w:t>.</w:t>
      </w:r>
      <w:r>
        <w:rPr>
          <w:rFonts w:hint="eastAsia" w:ascii="楷体" w:hAnsi="楷体" w:eastAsia="楷体" w:cs="仿宋"/>
          <w:color w:val="auto"/>
        </w:rPr>
        <w:t>个别课程或稍有调整，请以平台最终发布课程为准；</w:t>
      </w:r>
    </w:p>
    <w:p>
      <w:pPr>
        <w:pStyle w:val="9"/>
        <w:spacing w:line="360" w:lineRule="exact"/>
        <w:ind w:right="-57" w:rightChars="-27" w:firstLine="720" w:firstLineChars="300"/>
        <w:rPr>
          <w:rFonts w:ascii="仿宋" w:hAnsi="仿宋" w:eastAsia="仿宋"/>
          <w:color w:val="auto"/>
          <w:sz w:val="28"/>
          <w:szCs w:val="28"/>
        </w:rPr>
      </w:pPr>
      <w:r>
        <w:rPr>
          <w:rFonts w:ascii="Times New Roman" w:hAnsi="Times New Roman" w:eastAsia="楷体"/>
          <w:color w:val="auto"/>
        </w:rPr>
        <w:t>2.</w:t>
      </w:r>
      <w:r>
        <w:rPr>
          <w:rFonts w:ascii="楷体" w:hAnsi="楷体" w:eastAsia="楷体" w:cs="仿宋"/>
          <w:color w:val="auto"/>
        </w:rPr>
        <w:t>课程主讲人职务为课程录制时的职务</w:t>
      </w:r>
      <w:r>
        <w:rPr>
          <w:rFonts w:hint="eastAsia" w:ascii="楷体" w:hAnsi="楷体" w:eastAsia="楷体" w:cs="仿宋"/>
          <w:color w:val="auto"/>
        </w:rPr>
        <w:t>。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32826"/>
    <w:rsid w:val="06E93AE6"/>
    <w:rsid w:val="11602869"/>
    <w:rsid w:val="1FEE2FF9"/>
    <w:rsid w:val="29A66696"/>
    <w:rsid w:val="2EB561E9"/>
    <w:rsid w:val="36F95F76"/>
    <w:rsid w:val="3C821274"/>
    <w:rsid w:val="3CE66B5D"/>
    <w:rsid w:val="43407980"/>
    <w:rsid w:val="4C6C174B"/>
    <w:rsid w:val="602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2022-02-28T06:13:00Z</dcterms:created>
  <dc:creator>姑凉你可自知</dc:creator>
  <cp:lastModifiedBy>丰碑</cp:lastModifiedBy>
  <dcterms:modified xsi:type="dcterms:W3CDTF">2022-04-14T07:00:55Z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E6085664DEC74F4BA91651E703305866</vt:lpwstr>
  </property>
</Properties>
</file>